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Типовая ситуация: Крайний Север и приравненные местности: трудоустройство, отпуска, гарантии, компенсации</w:t>
      </w:r>
    </w:p>
    <w:p>
      <w:pPr>
        <w:pStyle w:val="0"/>
        <w:jc w:val="both"/>
      </w:pPr>
      <w:r>
        <w:rPr>
          <w:sz w:val="20"/>
        </w:rPr>
        <w:t xml:space="preserve">(Издательство "Главная книга", 2025)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Издательство </w:t>
            </w:r>
            <w:r>
              <w:rPr>
                <w:sz w:val="20"/>
                <w:color w:val="392c69"/>
              </w:rPr>
              <w:t xml:space="preserve">"Главная книга"</w:t>
            </w:r>
            <w:r>
              <w:rPr>
                <w:sz w:val="20"/>
                <w:color w:val="392c69"/>
              </w:rPr>
              <w:t xml:space="preserve"> | </w:t>
            </w:r>
            <w:r>
              <w:rPr>
                <w:sz w:val="20"/>
                <w:color w:val="392c69"/>
                <w:b w:val="on"/>
              </w:rPr>
              <w:t xml:space="preserve">Актуально на 06.05.2025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Крайний Север и приравненные местности: трудоустройство, отпуска, гарантии, компенсации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Принять на работу</w:t>
      </w:r>
      <w:r>
        <w:rPr>
          <w:sz w:val="20"/>
        </w:rPr>
        <w:t xml:space="preserve"> в районы </w:t>
      </w:r>
      <w:r>
        <w:rPr>
          <w:sz w:val="20"/>
        </w:rPr>
        <w:t xml:space="preserve">Крайнего Севера и приравненные к нему местности</w:t>
      </w:r>
      <w:r>
        <w:rPr>
          <w:sz w:val="20"/>
        </w:rPr>
        <w:t xml:space="preserve"> работника из другого региона можно только при отсутствии в медицинском заключении противопоказаний для проживания в северных регионах. Соискателя без такого заключения направьте на </w:t>
      </w:r>
      <w:r>
        <w:rPr>
          <w:sz w:val="20"/>
        </w:rPr>
        <w:t xml:space="preserve">предварительный медосмотр</w:t>
      </w:r>
      <w:r>
        <w:rPr>
          <w:sz w:val="20"/>
        </w:rPr>
        <w:t xml:space="preserve"> (</w:t>
      </w:r>
      <w:r>
        <w:rPr>
          <w:sz w:val="20"/>
        </w:rPr>
        <w:t xml:space="preserve">ст. 324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Компенсация расходов на переезд</w:t>
      </w:r>
      <w:r>
        <w:rPr>
          <w:sz w:val="20"/>
        </w:rPr>
        <w:t xml:space="preserve"> в районы Крайнего Севера и приравненные местности полагается при приеме на работу, на переезд с Севера в другую местность - при увольнении. Размеры и порядок компенсации установите в </w:t>
      </w:r>
      <w:r>
        <w:rPr>
          <w:sz w:val="20"/>
        </w:rPr>
        <w:t xml:space="preserve">трудовом</w:t>
      </w:r>
      <w:r>
        <w:rPr>
          <w:sz w:val="20"/>
        </w:rPr>
        <w:t xml:space="preserve"> или </w:t>
      </w:r>
      <w:r>
        <w:rPr>
          <w:sz w:val="20"/>
        </w:rPr>
        <w:t xml:space="preserve">коллективном договоре</w:t>
      </w:r>
      <w:r>
        <w:rPr>
          <w:sz w:val="20"/>
        </w:rPr>
        <w:t xml:space="preserve"> либо в </w:t>
      </w:r>
      <w:r>
        <w:rPr>
          <w:sz w:val="20"/>
        </w:rPr>
        <w:t xml:space="preserve">ЛНА</w:t>
      </w:r>
      <w:r>
        <w:rPr>
          <w:sz w:val="20"/>
        </w:rPr>
        <w:t xml:space="preserve"> (</w:t>
      </w:r>
      <w:r>
        <w:rPr>
          <w:sz w:val="20"/>
        </w:rPr>
        <w:t xml:space="preserve">ст. 326</w:t>
      </w:r>
      <w:r>
        <w:rPr>
          <w:sz w:val="20"/>
        </w:rPr>
        <w:t xml:space="preserve"> ТК РФ, </w:t>
      </w:r>
      <w:r>
        <w:rPr>
          <w:sz w:val="20"/>
        </w:rPr>
        <w:t xml:space="preserve">Руководство</w:t>
      </w:r>
      <w:r>
        <w:rPr>
          <w:sz w:val="20"/>
        </w:rPr>
        <w:t xml:space="preserve"> Роструда).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Зарплату платите в повышенном размере</w:t>
      </w:r>
      <w:r>
        <w:rPr>
          <w:sz w:val="20"/>
        </w:rPr>
        <w:t xml:space="preserve"> - с учетом </w:t>
      </w:r>
      <w:r>
        <w:rPr>
          <w:sz w:val="20"/>
        </w:rPr>
        <w:t xml:space="preserve">районного коэффициента и надбавки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Условие трудового договора о районном коэффициенте и северной надбавке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Ежегодный дополнительный оплачиваемый отпуск</w:t>
      </w:r>
      <w:r>
        <w:rPr>
          <w:sz w:val="20"/>
        </w:rPr>
        <w:t xml:space="preserve"> на Крайнем Севере - 24 дня, в приравненных к нему местностях - 16 дней, в других регионах с районным коэффициентом и процентной надбавкой - 8 дней. Дополнительные оплачиваемые дни на дорогу к месту отдыха и обратно не положены. Отпуск предоставляйте после 6 месяцев работы вместе с основным отпуском и оплачивайте в </w:t>
      </w:r>
      <w:r>
        <w:rPr>
          <w:sz w:val="20"/>
        </w:rPr>
        <w:t xml:space="preserve">общем порядке</w:t>
      </w:r>
      <w:r>
        <w:rPr>
          <w:sz w:val="20"/>
        </w:rPr>
        <w:t xml:space="preserve">. По заявлению работника этот дополнительный отпуск можно заменить </w:t>
      </w:r>
      <w:r>
        <w:rPr>
          <w:sz w:val="20"/>
        </w:rPr>
        <w:t xml:space="preserve">компенсацией</w:t>
      </w:r>
      <w:r>
        <w:rPr>
          <w:sz w:val="20"/>
        </w:rPr>
        <w:t xml:space="preserve"> (</w:t>
      </w:r>
      <w:r>
        <w:rPr>
          <w:sz w:val="20"/>
        </w:rPr>
        <w:t xml:space="preserve">Руководство</w:t>
      </w:r>
      <w:r>
        <w:rPr>
          <w:sz w:val="20"/>
        </w:rPr>
        <w:t xml:space="preserve"> Роструда).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Проезд к месту отпуска и обратно</w:t>
      </w:r>
      <w:r>
        <w:rPr>
          <w:sz w:val="20"/>
        </w:rPr>
        <w:t xml:space="preserve"> по территории РФ оплачивайте работнику начиная с первого года работы раз в два года. Иждивенцам - несовершеннолетним детям и неработающим супругам проезд оплачивайте, только если это предусмотрено трудовым или </w:t>
      </w:r>
      <w:r>
        <w:rPr>
          <w:sz w:val="20"/>
        </w:rPr>
        <w:t xml:space="preserve">коллективным договором</w:t>
      </w:r>
      <w:r>
        <w:rPr>
          <w:sz w:val="20"/>
        </w:rPr>
        <w:t xml:space="preserve"> либо </w:t>
      </w:r>
      <w:r>
        <w:rPr>
          <w:sz w:val="20"/>
        </w:rPr>
        <w:t xml:space="preserve">ЛНА</w:t>
      </w:r>
      <w:r>
        <w:rPr>
          <w:sz w:val="20"/>
        </w:rPr>
        <w:t xml:space="preserve">. В этих же документах указывают сроки, условия и размер выплаты, в том числе при проезде на личном транспорте, за основу можно взять </w:t>
      </w:r>
      <w:r>
        <w:rPr>
          <w:sz w:val="20"/>
        </w:rPr>
        <w:t xml:space="preserve">Правила для бюджетников</w:t>
      </w:r>
      <w:r>
        <w:rPr>
          <w:sz w:val="20"/>
        </w:rPr>
        <w:t xml:space="preserve"> (</w:t>
      </w:r>
      <w:r>
        <w:rPr>
          <w:sz w:val="20"/>
        </w:rPr>
        <w:t xml:space="preserve">ст. 325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Подтверждают расходы на проезд билеты, посадочные талоны, кассовые чеки.</w:t>
      </w:r>
    </w:p>
    <w:p>
      <w:pPr>
        <w:pStyle w:val="0"/>
        <w:jc w:val="both"/>
      </w:pPr>
      <w:r>
        <w:rPr>
          <w:sz w:val="20"/>
        </w:rPr>
      </w: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17" w:name="P17"/>
          <w:bookmarkEnd w:id="17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Заявление на оплату проезда в отпуск</w:t>
            </w:r>
          </w:p>
          <w:p>
            <w:pPr>
              <w:spacing w:before="0"/>
              <w:spacing w:after="1"/>
            </w:pPr>
          </w:p>
          <w:tbl>
            <w:tblPr>
              <w:tblInd w:w="0" w:type="dxa"/>
              <w:tblW w:w="5000" w:type="pct"/>
              <w:tblBorders>
                <w:top w:val="nil"/>
                <w:left w:val="nil"/>
                <w:bottom w:val="nil"/>
                <w:right w:val="nil"/>
                <w:insideV w:val="nil"/>
                <w:insideH w:val="nil"/>
              </w:tblBorders>
            </w:tblPr>
            <w:tblGrid>
              <w:gridCol w:w="180"/>
              <w:gridCol w:w="555"/>
              <w:gridCol w:w="9292"/>
              <w:gridCol w:w="180"/>
            </w:tblGrid>
            <w:tr>
              <w:tc>
                <w:tcPr>
                  <w:tcW w:w="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daeef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555" w:type="dxa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  <w:shd w:val="clear" w:fill="daeef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r>
                    <w:drawing>
                      <wp:inline distT="0" distB="0" distL="0" distR="0">
                        <wp:extent cx="238125" cy="23812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  <w:shd w:val="clear" w:fill="daeef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0"/>
                    <w:jc w:val="both"/>
                  </w:pPr>
                  <w:r>
                    <w:rPr>
                      <w:sz w:val="20"/>
                    </w:rPr>
                    <w:t xml:space="preserve">Бланк заявления</w:t>
                  </w:r>
                </w:p>
              </w:tc>
              <w:tc>
                <w:tcPr>
                  <w:tcW w:w="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daeef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</w:tr>
          </w:tbl>
          <w:p>
            <w:pPr>
              <w:pStyle w:val="0"/>
              <w:spacing w:before="260" w:line-rule="auto"/>
              <w:jc w:val="right"/>
            </w:pPr>
            <w:r>
              <w:rPr>
                <w:sz w:val="20"/>
              </w:rPr>
              <w:t xml:space="preserve">Генеральному директору ООО "Угольная компания"</w:t>
            </w:r>
          </w:p>
          <w:p>
            <w:pPr>
              <w:pStyle w:val="0"/>
              <w:spacing w:before="200" w:line-rule="auto"/>
              <w:jc w:val="right"/>
            </w:pPr>
            <w:r>
              <w:rPr>
                <w:sz w:val="20"/>
              </w:rPr>
              <w:t xml:space="preserve">Уголькову В.В.</w:t>
            </w:r>
          </w:p>
          <w:p>
            <w:pPr>
              <w:pStyle w:val="0"/>
              <w:spacing w:before="200" w:line-rule="auto"/>
              <w:jc w:val="right"/>
            </w:pPr>
            <w:r>
              <w:rPr>
                <w:sz w:val="20"/>
              </w:rPr>
              <w:t xml:space="preserve">от водителя погрузчика Федорова В.С.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center"/>
            </w:pPr>
            <w:r>
              <w:rPr>
                <w:sz w:val="20"/>
                <w:b w:val="on"/>
              </w:rPr>
              <w:t xml:space="preserve">Заявление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На основании </w:t>
            </w:r>
            <w:r>
              <w:rPr>
                <w:sz w:val="20"/>
              </w:rPr>
              <w:t xml:space="preserve">ст. 325</w:t>
            </w:r>
            <w:r>
              <w:rPr>
                <w:sz w:val="20"/>
              </w:rPr>
              <w:t xml:space="preserve"> ТК РФ прошу компенсировать мне расходы на проезд к месту использования ежегодного оплачиваемого отпуска - город Сочи и обратно в сумме 42 050 (сорок две тысячи пятьдесят) руб.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Приложения:</w:t>
            </w:r>
          </w:p>
          <w:p>
            <w:pPr>
              <w:pStyle w:val="0"/>
              <w:spacing w:before="200" w:line-rule="auto"/>
              <w:ind w:firstLine="-227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маршрутная квитанция электронного авиабилета на рейс Норильск-Сочи</w:t>
            </w:r>
          </w:p>
          <w:p>
            <w:pPr>
              <w:pStyle w:val="0"/>
              <w:spacing w:before="200" w:line-rule="auto"/>
              <w:ind w:firstLine="-227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маршрутная квитанция электронного авиабилета на рейс Сочи-Норильск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ind w:left="540"/>
              <w:jc w:val="both"/>
            </w:pPr>
            <w:r>
              <w:rPr>
                <w:sz w:val="20"/>
                <w:i w:val="on"/>
              </w:rPr>
              <w:t xml:space="preserve">Федоров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  <w:i w:val="on"/>
              </w:rPr>
              <w:t xml:space="preserve">03.09.2025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  <w:t xml:space="preserve">Страховыми взносами и НДФЛ компенсацию не облагайте. При перелетах за границу налог и взносы не начисляйте только на стоимость проезда до международного аэропорта и обратно (</w:t>
      </w:r>
      <w:r>
        <w:rPr>
          <w:sz w:val="20"/>
        </w:rPr>
        <w:t xml:space="preserve">ст. ст. 217</w:t>
      </w:r>
      <w:r>
        <w:rPr>
          <w:sz w:val="20"/>
        </w:rPr>
        <w:t xml:space="preserve">, </w:t>
      </w:r>
      <w:r>
        <w:rPr>
          <w:sz w:val="20"/>
        </w:rPr>
        <w:t xml:space="preserve">422</w:t>
      </w:r>
      <w:r>
        <w:rPr>
          <w:sz w:val="20"/>
        </w:rPr>
        <w:t xml:space="preserve"> НК РФ).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Сокращенная 36-часовая рабочая неделя</w:t>
      </w:r>
      <w:r>
        <w:rPr>
          <w:sz w:val="20"/>
        </w:rPr>
        <w:t xml:space="preserve"> полагается всем женщинам, работающим на Крайнем Севере и в приравненных местностях. Установить такую продолжительность рабочей недели надо в </w:t>
      </w:r>
      <w:r>
        <w:rPr>
          <w:sz w:val="20"/>
        </w:rPr>
        <w:t xml:space="preserve">трудовом</w:t>
      </w:r>
      <w:r>
        <w:rPr>
          <w:sz w:val="20"/>
        </w:rPr>
        <w:t xml:space="preserve"> или коллективном договоре. Уменьшать зарплату пропорционально уменьшению рабочего времени нельзя (</w:t>
      </w:r>
      <w:r>
        <w:rPr>
          <w:sz w:val="20"/>
        </w:rPr>
        <w:t xml:space="preserve">ст. 320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Дополнительный неоплачиваемый выходной день</w:t>
      </w:r>
      <w:r>
        <w:rPr>
          <w:sz w:val="20"/>
        </w:rPr>
        <w:t xml:space="preserve"> один раз в месяц предоставляйте по заявлению работнику, у которого есть ребенок в возрасте до 16 лет (</w:t>
      </w:r>
      <w:r>
        <w:rPr>
          <w:sz w:val="20"/>
        </w:rPr>
        <w:t xml:space="preserve">Руководство</w:t>
      </w:r>
      <w:r>
        <w:rPr>
          <w:sz w:val="20"/>
        </w:rPr>
        <w:t xml:space="preserve"> Роструда).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При увольнении по сокращению</w:t>
      </w:r>
      <w:r>
        <w:rPr>
          <w:sz w:val="20"/>
        </w:rPr>
        <w:t xml:space="preserve"> за работником сохраняется </w:t>
      </w:r>
      <w:r>
        <w:rPr>
          <w:sz w:val="20"/>
        </w:rPr>
        <w:t xml:space="preserve">средний заработок</w:t>
      </w:r>
      <w:r>
        <w:rPr>
          <w:sz w:val="20"/>
        </w:rPr>
        <w:t xml:space="preserve"> до 6 месяцев (</w:t>
      </w:r>
      <w:r>
        <w:rPr>
          <w:sz w:val="20"/>
        </w:rPr>
        <w:t xml:space="preserve">ст. 318</w:t>
      </w:r>
      <w:r>
        <w:rPr>
          <w:sz w:val="20"/>
        </w:rPr>
        <w:t xml:space="preserve"> ТК РФ).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Оплата проезда на вахту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Вредные условия труда: компенсации и гарантии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Увольнение по сокращению: процедура и оформление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Дополнительный отпуск: предоставление, оформление, оплата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Типовая ситуация: Крайний Север и приравненные местности: трудоустройство, отпуска, гарантии, компенсации</w:t>
            <w:br/>
            <w:t>(Издательство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header" Target="header1.xml"/>
	<Relationship Id="rId4" Type="http://schemas.openxmlformats.org/officeDocument/2006/relationships/footer" Target="footer1.xml"/>
	<Relationship Id="rId5" Type="http://schemas.openxmlformats.org/officeDocument/2006/relationships/image" Target="media/image1.png"/>
	<Relationship Id="rId6" Type="http://schemas.openxmlformats.org/officeDocument/2006/relationships/image" Target="media/image2.png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ситуация: Крайний Север и приравненные местности: трудоустройство, отпуска, гарантии, компенсации
(Издательство "Главная книга", 2025)</dc:title>
  <dcterms:created xsi:type="dcterms:W3CDTF">2025-05-07T11:34:34Z</dcterms:created>
</cp:coreProperties>
</file>